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09" w:rsidRPr="00AD5009" w:rsidRDefault="00AD5009" w:rsidP="00AD5009">
      <w:pPr>
        <w:jc w:val="center"/>
        <w:rPr>
          <w:rFonts w:ascii="Times New Roman" w:hAnsi="Times New Roman" w:cs="Times New Roman"/>
        </w:rPr>
      </w:pPr>
      <w:r w:rsidRPr="00AD5009">
        <w:rPr>
          <w:rFonts w:ascii="Times New Roman" w:hAnsi="Times New Roman" w:cs="Times New Roman"/>
          <w:noProof/>
          <w:lang w:eastAsia="ru-RU"/>
        </w:rPr>
        <w:drawing>
          <wp:inline distT="0" distB="0" distL="0" distR="0" wp14:anchorId="22663D57" wp14:editId="474BEE2C">
            <wp:extent cx="1037139" cy="590550"/>
            <wp:effectExtent l="0" t="0" r="0" b="0"/>
            <wp:docPr id="1" name="Рисунок 1" descr="C:\Users\2014\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4\Desktop\media\image1.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8892" cy="591548"/>
                    </a:xfrm>
                    <a:prstGeom prst="rect">
                      <a:avLst/>
                    </a:prstGeom>
                    <a:noFill/>
                    <a:ln>
                      <a:noFill/>
                    </a:ln>
                  </pic:spPr>
                </pic:pic>
              </a:graphicData>
            </a:graphic>
          </wp:inline>
        </w:drawing>
      </w:r>
    </w:p>
    <w:p w:rsidR="00AD5009" w:rsidRPr="00AD5009" w:rsidRDefault="00AD5009" w:rsidP="00AD5009">
      <w:pPr>
        <w:spacing w:after="23" w:line="240" w:lineRule="auto"/>
        <w:ind w:left="-1985" w:firstLine="1985"/>
        <w:jc w:val="center"/>
        <w:rPr>
          <w:rStyle w:val="230"/>
          <w:rFonts w:ascii="Times New Roman" w:hAnsi="Times New Roman" w:cs="Times New Roman"/>
          <w:b/>
          <w:sz w:val="18"/>
          <w:szCs w:val="18"/>
        </w:rPr>
      </w:pPr>
      <w:r w:rsidRPr="00AD5009">
        <w:rPr>
          <w:rStyle w:val="230"/>
          <w:rFonts w:ascii="Times New Roman" w:hAnsi="Times New Roman" w:cs="Times New Roman"/>
          <w:sz w:val="18"/>
          <w:szCs w:val="18"/>
        </w:rPr>
        <w:t>ООО «ГАЗПРОМ МЕЖРЕГИОНГАЗ»</w:t>
      </w:r>
    </w:p>
    <w:p w:rsidR="00AD5009" w:rsidRPr="00AD5009" w:rsidRDefault="00AD5009" w:rsidP="00AD5009">
      <w:pPr>
        <w:spacing w:after="23" w:line="240" w:lineRule="auto"/>
        <w:ind w:left="-1985" w:firstLine="1985"/>
        <w:jc w:val="center"/>
        <w:rPr>
          <w:rStyle w:val="230"/>
          <w:rFonts w:ascii="Times New Roman" w:hAnsi="Times New Roman" w:cs="Times New Roman"/>
          <w:sz w:val="18"/>
          <w:szCs w:val="18"/>
        </w:rPr>
      </w:pPr>
      <w:r w:rsidRPr="00AD5009">
        <w:rPr>
          <w:rStyle w:val="230"/>
          <w:rFonts w:ascii="Times New Roman" w:hAnsi="Times New Roman" w:cs="Times New Roman"/>
          <w:sz w:val="18"/>
          <w:szCs w:val="18"/>
        </w:rPr>
        <w:t>ОБЩЕСТВО С ОГРАНИЧЕННОЙ ОТВЕТСТВЕННОСТЬЮ «ГАЗПРОМ ГАЗОРАСПРЕДЕЛЕНИЕ ВЛАДИКАВКАЗ»</w:t>
      </w:r>
    </w:p>
    <w:p w:rsidR="00AD5009" w:rsidRPr="00AD5009" w:rsidRDefault="00AD5009" w:rsidP="00AD5009">
      <w:pPr>
        <w:spacing w:after="23" w:line="240" w:lineRule="auto"/>
        <w:ind w:left="-1985" w:firstLine="1985"/>
        <w:jc w:val="center"/>
        <w:rPr>
          <w:rFonts w:ascii="Times New Roman" w:hAnsi="Times New Roman" w:cs="Times New Roman"/>
          <w:b/>
          <w:sz w:val="18"/>
          <w:szCs w:val="18"/>
        </w:rPr>
      </w:pPr>
      <w:r w:rsidRPr="00AD5009">
        <w:rPr>
          <w:rFonts w:ascii="Times New Roman" w:hAnsi="Times New Roman" w:cs="Times New Roman"/>
          <w:sz w:val="18"/>
          <w:szCs w:val="18"/>
        </w:rPr>
        <w:t>(ООО «Газпром газораспределение Владикавказ»)</w:t>
      </w:r>
    </w:p>
    <w:p w:rsidR="00E37BBE" w:rsidRDefault="00E37BBE" w:rsidP="00E10240">
      <w:pPr>
        <w:autoSpaceDE w:val="0"/>
        <w:autoSpaceDN w:val="0"/>
        <w:adjustRightInd w:val="0"/>
        <w:spacing w:before="120" w:after="0" w:line="240" w:lineRule="auto"/>
        <w:jc w:val="center"/>
        <w:rPr>
          <w:rFonts w:ascii="Times New Roman" w:hAnsi="Times New Roman" w:cs="Times New Roman"/>
          <w:b/>
          <w:sz w:val="28"/>
          <w:szCs w:val="28"/>
        </w:rPr>
      </w:pPr>
    </w:p>
    <w:p w:rsidR="00E10240" w:rsidRPr="00E37BBE" w:rsidRDefault="00E10240" w:rsidP="00E37BBE">
      <w:pPr>
        <w:keepLines/>
        <w:autoSpaceDE w:val="0"/>
        <w:autoSpaceDN w:val="0"/>
        <w:adjustRightInd w:val="0"/>
        <w:spacing w:before="120" w:after="0" w:line="240" w:lineRule="auto"/>
        <w:jc w:val="center"/>
        <w:rPr>
          <w:rFonts w:ascii="Times New Roman" w:hAnsi="Times New Roman" w:cs="Times New Roman"/>
          <w:b/>
          <w:sz w:val="24"/>
          <w:szCs w:val="24"/>
        </w:rPr>
      </w:pPr>
      <w:r w:rsidRPr="00E37BBE">
        <w:rPr>
          <w:rFonts w:ascii="Times New Roman" w:hAnsi="Times New Roman" w:cs="Times New Roman"/>
          <w:b/>
          <w:sz w:val="24"/>
          <w:szCs w:val="24"/>
        </w:rPr>
        <w:t>Предложение по вариантам сроков внесения платы за технологическое присоединение*.</w:t>
      </w:r>
    </w:p>
    <w:p w:rsidR="00872838" w:rsidRPr="00872838" w:rsidRDefault="00872838" w:rsidP="00872838">
      <w:pPr>
        <w:pStyle w:val="s1"/>
        <w:shd w:val="clear" w:color="auto" w:fill="FFFFFF"/>
        <w:ind w:firstLine="708"/>
        <w:jc w:val="both"/>
        <w:rPr>
          <w:color w:val="22272F"/>
          <w:sz w:val="23"/>
          <w:szCs w:val="23"/>
        </w:rPr>
      </w:pPr>
      <w:r w:rsidRPr="00872838">
        <w:rPr>
          <w:color w:val="22272F"/>
          <w:sz w:val="23"/>
          <w:szCs w:val="23"/>
        </w:rPr>
        <w:t>Внесение платы за подключение (технологическое присоединение) заявителями первой категории осуществляется в следующем порядке:</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а) 50 процентов платы за подключение (технологическое присоединение) вносится в течение 11 рабочих дней со дня заключения договора о подключении;</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б) 35 процентов платы за подключение (технологическое присоединение) вносится в течение 11 рабочих дней со дня выполнения исполнителем обязательств, предусмотренных подпунктом "а" пункта 72 настоящих Правил, в объеме, определенном в договоре о подключении;</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в) 15 процентов платы за подключение (технологическое присоединение) вносится в течение 11 рабочих дней со дня подписания акта о подключении (технологическом присоединении).</w:t>
      </w:r>
    </w:p>
    <w:p w:rsidR="00872838" w:rsidRPr="00872838" w:rsidRDefault="00872838" w:rsidP="00872838">
      <w:pPr>
        <w:pStyle w:val="s1"/>
        <w:shd w:val="clear" w:color="auto" w:fill="FFFFFF"/>
        <w:ind w:firstLine="708"/>
        <w:jc w:val="both"/>
        <w:rPr>
          <w:color w:val="22272F"/>
          <w:sz w:val="23"/>
          <w:szCs w:val="23"/>
        </w:rPr>
      </w:pPr>
      <w:r w:rsidRPr="00872838">
        <w:rPr>
          <w:color w:val="22272F"/>
          <w:sz w:val="23"/>
          <w:szCs w:val="23"/>
        </w:rPr>
        <w:t>Внесение платы за технологическое присоединение заявителями второй и третьей категорий, кроме случаев, когда размер платы за подключение (технологическое присоединение) устанавливается по индивидуальному проекту, осуществляется в следующем порядке:</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а) 25 процентов платы за подключение (технологическое присоединение) вносится в течение 11 рабочих дней со дня заключения договора о подключении;</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б) 25 процентов платы за подключение (технологическое присоединение) вносится в течение 3 месяцев со дня заключения договора о подключении, но не позже дня фактического присоединения;</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в) 35 процентов платы за подключение (технологическое присоединение) вносится в течение 1 года со дня заключения договора о подключении, но не позже дня фактического присоединения;</w:t>
      </w:r>
    </w:p>
    <w:p w:rsidR="00872838" w:rsidRPr="00872838" w:rsidRDefault="00872838" w:rsidP="00872838">
      <w:pPr>
        <w:pStyle w:val="s1"/>
        <w:shd w:val="clear" w:color="auto" w:fill="FFFFFF"/>
        <w:jc w:val="both"/>
        <w:rPr>
          <w:color w:val="22272F"/>
          <w:sz w:val="23"/>
          <w:szCs w:val="23"/>
        </w:rPr>
      </w:pPr>
      <w:r w:rsidRPr="00872838">
        <w:rPr>
          <w:color w:val="22272F"/>
          <w:sz w:val="23"/>
          <w:szCs w:val="23"/>
        </w:rPr>
        <w:t>г) 15 процентов платы за подключение (технологическое присоединение) вносится в течение 11 рабочих дней со дня подписания акта о подключении.</w:t>
      </w:r>
    </w:p>
    <w:p w:rsidR="00BE49A5" w:rsidRPr="00BE49A5" w:rsidRDefault="00872838" w:rsidP="00872838">
      <w:pPr>
        <w:pStyle w:val="s1"/>
        <w:shd w:val="clear" w:color="auto" w:fill="FFFFFF"/>
        <w:ind w:firstLine="708"/>
        <w:jc w:val="both"/>
        <w:rPr>
          <w:color w:val="22272F"/>
          <w:sz w:val="23"/>
          <w:szCs w:val="23"/>
        </w:rPr>
      </w:pPr>
      <w:r w:rsidRPr="00872838">
        <w:rPr>
          <w:color w:val="22272F"/>
          <w:sz w:val="23"/>
          <w:szCs w:val="23"/>
        </w:rPr>
        <w:t xml:space="preserve"> В случае если плата за подключение (технологическое присоединение) устанавливается органом исполнительной власти субъекта Российской Федерации в области государственного регулирования тарифов по индивидуальному проекту, порядок и сроки внесения такой платы устанавливаются соглашением сторон договора о подключении исходя из графика выполнения работ и их стоимости, определенной решением органа исполнительной власти субъекта Российской Федерации в области государственного регулирования тарифов. При этом не менее 20 процентов платы за подключение (технологическое присоединение) вносится в течение 11 рабочих дней со дня подписания акта о подключении.</w:t>
      </w:r>
    </w:p>
    <w:p w:rsidR="004256C1" w:rsidRPr="004256C1" w:rsidRDefault="004256C1" w:rsidP="004256C1">
      <w:pPr>
        <w:keepLines/>
        <w:spacing w:before="120" w:after="0" w:line="240" w:lineRule="auto"/>
        <w:ind w:firstLine="708"/>
        <w:rPr>
          <w:rFonts w:ascii="Times New Roman" w:eastAsia="Times New Roman" w:hAnsi="Times New Roman" w:cs="Times New Roman"/>
          <w:color w:val="22272F"/>
          <w:sz w:val="23"/>
          <w:szCs w:val="23"/>
          <w:lang w:eastAsia="ru-RU"/>
        </w:rPr>
      </w:pPr>
      <w:r w:rsidRPr="004256C1">
        <w:rPr>
          <w:rFonts w:ascii="Times New Roman" w:eastAsia="Times New Roman" w:hAnsi="Times New Roman" w:cs="Times New Roman"/>
          <w:color w:val="22272F"/>
          <w:sz w:val="23"/>
          <w:szCs w:val="23"/>
          <w:lang w:eastAsia="ru-RU"/>
        </w:rPr>
        <w:t xml:space="preserve"> В случае строительства, реконструкции объектов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устанавливаются соглашением сторон договора о подключении исходя из графика выполнения работ и этапов архитектурно-строительного проектирования, строительства, реконструкции сетей газораспределения, предусмотренных договором о подключении.</w:t>
      </w:r>
    </w:p>
    <w:p w:rsidR="004256C1" w:rsidRPr="004256C1" w:rsidRDefault="004256C1" w:rsidP="004256C1">
      <w:pPr>
        <w:keepLines/>
        <w:spacing w:before="120" w:after="0" w:line="240" w:lineRule="auto"/>
        <w:ind w:firstLine="708"/>
        <w:rPr>
          <w:rFonts w:ascii="Times New Roman" w:eastAsia="Times New Roman" w:hAnsi="Times New Roman" w:cs="Times New Roman"/>
          <w:color w:val="22272F"/>
          <w:sz w:val="23"/>
          <w:szCs w:val="23"/>
          <w:lang w:eastAsia="ru-RU"/>
        </w:rPr>
      </w:pPr>
      <w:r w:rsidRPr="004256C1">
        <w:rPr>
          <w:rFonts w:ascii="Times New Roman" w:eastAsia="Times New Roman" w:hAnsi="Times New Roman" w:cs="Times New Roman"/>
          <w:color w:val="22272F"/>
          <w:sz w:val="23"/>
          <w:szCs w:val="23"/>
          <w:lang w:eastAsia="ru-RU"/>
        </w:rPr>
        <w:lastRenderedPageBreak/>
        <w:t>В случае если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либо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либо разрешение на строительство предусматривает строительство, реконструкцию нескольких объектов капитального строительства, в договоре о подключении по согласованию с исполнителем могут быть установлены порядок и сроки внесения платы за подключение (технологическое присоединение) таких объектов капитального строительства к сетям газораспределения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(технологическому присоединению) таких объектов капитального строительства к сетям газораспределения, в соответствии с графиком оплаты указанных мероприятий, предусмотренных договором о подключении.</w:t>
      </w:r>
    </w:p>
    <w:p w:rsidR="004256C1" w:rsidRPr="004256C1" w:rsidRDefault="004256C1" w:rsidP="004256C1">
      <w:pPr>
        <w:keepLines/>
        <w:spacing w:before="120" w:after="0" w:line="240" w:lineRule="auto"/>
        <w:ind w:firstLine="708"/>
        <w:rPr>
          <w:rFonts w:ascii="Times New Roman" w:eastAsia="Times New Roman" w:hAnsi="Times New Roman" w:cs="Times New Roman"/>
          <w:color w:val="22272F"/>
          <w:sz w:val="23"/>
          <w:szCs w:val="23"/>
          <w:lang w:eastAsia="ru-RU"/>
        </w:rPr>
      </w:pPr>
      <w:r w:rsidRPr="004256C1">
        <w:rPr>
          <w:rFonts w:ascii="Times New Roman" w:eastAsia="Times New Roman" w:hAnsi="Times New Roman" w:cs="Times New Roman"/>
          <w:color w:val="22272F"/>
          <w:sz w:val="23"/>
          <w:szCs w:val="23"/>
          <w:lang w:eastAsia="ru-RU"/>
        </w:rPr>
        <w:t xml:space="preserve"> Размер платы и порядок расчета за поставку газоиспользующего оборудования и (или) поставку прибора учета газа определяются в соответствии с гражданским законодательством.</w:t>
      </w:r>
    </w:p>
    <w:p w:rsidR="004256C1" w:rsidRPr="004256C1" w:rsidRDefault="004256C1" w:rsidP="004256C1">
      <w:pPr>
        <w:keepLines/>
        <w:spacing w:before="120" w:after="0" w:line="240" w:lineRule="auto"/>
        <w:ind w:firstLine="708"/>
        <w:rPr>
          <w:rFonts w:ascii="Times New Roman" w:eastAsia="Times New Roman" w:hAnsi="Times New Roman" w:cs="Times New Roman"/>
          <w:color w:val="22272F"/>
          <w:sz w:val="23"/>
          <w:szCs w:val="23"/>
          <w:lang w:eastAsia="ru-RU"/>
        </w:rPr>
      </w:pPr>
      <w:r w:rsidRPr="004256C1">
        <w:rPr>
          <w:rFonts w:ascii="Times New Roman" w:eastAsia="Times New Roman" w:hAnsi="Times New Roman" w:cs="Times New Roman"/>
          <w:color w:val="22272F"/>
          <w:sz w:val="23"/>
          <w:szCs w:val="23"/>
          <w:lang w:eastAsia="ru-RU"/>
        </w:rPr>
        <w:t xml:space="preserve"> В случае нарушения заявителем срока осуществления мероприятий по подключению (технологическому присоединению) исполнитель, выполнивший мероприятия согласно подпункту "а" пункта 72 настоящих Правил, вправе требовать от заявителя исполнения обязательства по внесению платы за подключение (технологическое присоединение) в соответствии с договором о подключении и по истечении 10 рабочих дней со дня нарушения заявителем срока осуществления мероприятий по подключению (технологическому присоединению) направить в адрес заявителя уведомление с требованием внести 100 процентов платы за подключение (технологическое присоединение), а заявитель обязан в течение 10 рабочих дней со дня получения такого уведомления исполнить требование исполнителя. Указанная обязанность исполняется заявителем без внесения изменений в договор о подключении и вне зависимости от последующего выполнения иных мероприятий, предусмотренных договором о подключении.</w:t>
      </w:r>
    </w:p>
    <w:p w:rsidR="00E06405" w:rsidRDefault="004256C1" w:rsidP="004256C1">
      <w:pPr>
        <w:keepLines/>
        <w:spacing w:before="120" w:after="0" w:line="240" w:lineRule="auto"/>
        <w:ind w:firstLine="708"/>
        <w:rPr>
          <w:rFonts w:ascii="Times New Roman" w:eastAsia="Times New Roman" w:hAnsi="Times New Roman" w:cs="Times New Roman"/>
          <w:color w:val="22272F"/>
          <w:sz w:val="23"/>
          <w:szCs w:val="23"/>
          <w:lang w:eastAsia="ru-RU"/>
        </w:rPr>
      </w:pPr>
      <w:r w:rsidRPr="004256C1">
        <w:rPr>
          <w:rFonts w:ascii="Times New Roman" w:eastAsia="Times New Roman" w:hAnsi="Times New Roman" w:cs="Times New Roman"/>
          <w:color w:val="22272F"/>
          <w:sz w:val="23"/>
          <w:szCs w:val="23"/>
          <w:lang w:eastAsia="ru-RU"/>
        </w:rPr>
        <w:t>Нарушение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согласно подпункту "а" пункта 72 настоящих Правил, может являться основанием для расторжения договора о подключении в одностороннем порядке по требованию исполнителя.</w:t>
      </w:r>
    </w:p>
    <w:p w:rsidR="00295F70" w:rsidRDefault="00295F70" w:rsidP="004256C1">
      <w:pPr>
        <w:keepLines/>
        <w:spacing w:before="120" w:after="0" w:line="240" w:lineRule="auto"/>
        <w:ind w:firstLine="708"/>
        <w:rPr>
          <w:rFonts w:ascii="Times New Roman" w:eastAsia="Times New Roman" w:hAnsi="Times New Roman" w:cs="Times New Roman"/>
          <w:color w:val="22272F"/>
          <w:sz w:val="23"/>
          <w:szCs w:val="23"/>
          <w:lang w:eastAsia="ru-RU"/>
        </w:rPr>
      </w:pPr>
    </w:p>
    <w:p w:rsidR="00295F70" w:rsidRPr="00E37BBE" w:rsidRDefault="00295F70" w:rsidP="004256C1">
      <w:pPr>
        <w:keepLines/>
        <w:spacing w:before="120" w:after="0" w:line="240" w:lineRule="auto"/>
        <w:ind w:firstLine="708"/>
        <w:rPr>
          <w:rFonts w:ascii="Times New Roman" w:hAnsi="Times New Roman" w:cs="Times New Roman"/>
          <w:sz w:val="24"/>
          <w:szCs w:val="24"/>
        </w:rPr>
      </w:pPr>
    </w:p>
    <w:p w:rsidR="00E10240" w:rsidRPr="00E37BBE" w:rsidRDefault="00E10240" w:rsidP="00E37BBE">
      <w:pPr>
        <w:keepLines/>
        <w:spacing w:before="120" w:after="0" w:line="240" w:lineRule="auto"/>
        <w:jc w:val="both"/>
        <w:rPr>
          <w:rFonts w:ascii="Times New Roman" w:hAnsi="Times New Roman" w:cs="Times New Roman"/>
          <w:sz w:val="24"/>
          <w:szCs w:val="24"/>
        </w:rPr>
      </w:pPr>
      <w:r w:rsidRPr="00E37BBE">
        <w:rPr>
          <w:rFonts w:ascii="Times New Roman" w:hAnsi="Times New Roman" w:cs="Times New Roman"/>
          <w:sz w:val="24"/>
          <w:szCs w:val="24"/>
        </w:rPr>
        <w:t xml:space="preserve">* - предложение сформировано в соответствии с требованием Правил подключения (технологического присоединения) объектов капитального строительства к сетям газораспределения, утвержденных постановлением Правительства РФ от </w:t>
      </w:r>
      <w:r w:rsidR="00295F70">
        <w:rPr>
          <w:rFonts w:ascii="Times New Roman" w:hAnsi="Times New Roman" w:cs="Times New Roman"/>
          <w:sz w:val="24"/>
          <w:szCs w:val="24"/>
        </w:rPr>
        <w:t>13.09.2021</w:t>
      </w:r>
      <w:r w:rsidRPr="00E37BBE">
        <w:rPr>
          <w:rFonts w:ascii="Times New Roman" w:hAnsi="Times New Roman" w:cs="Times New Roman"/>
          <w:sz w:val="24"/>
          <w:szCs w:val="24"/>
        </w:rPr>
        <w:t>г. № 1</w:t>
      </w:r>
      <w:r w:rsidR="00295F70">
        <w:rPr>
          <w:rFonts w:ascii="Times New Roman" w:hAnsi="Times New Roman" w:cs="Times New Roman"/>
          <w:sz w:val="24"/>
          <w:szCs w:val="24"/>
        </w:rPr>
        <w:t>547</w:t>
      </w:r>
      <w:bookmarkStart w:id="0" w:name="_GoBack"/>
      <w:bookmarkEnd w:id="0"/>
      <w:r w:rsidRPr="00E37BBE">
        <w:rPr>
          <w:rFonts w:ascii="Times New Roman" w:hAnsi="Times New Roman" w:cs="Times New Roman"/>
          <w:sz w:val="24"/>
          <w:szCs w:val="24"/>
        </w:rPr>
        <w:t xml:space="preserve">. </w:t>
      </w:r>
      <w:r w:rsidRPr="00E37BBE">
        <w:rPr>
          <w:rFonts w:ascii="Times New Roman" w:hAnsi="Times New Roman" w:cs="Times New Roman"/>
          <w:b/>
          <w:sz w:val="24"/>
          <w:szCs w:val="24"/>
          <w:u w:val="single"/>
        </w:rPr>
        <w:t>Не является публичной офертой.</w:t>
      </w:r>
    </w:p>
    <w:sectPr w:rsidR="00E10240" w:rsidRPr="00E37BBE" w:rsidSect="00B93A94">
      <w:pgSz w:w="11905" w:h="16838"/>
      <w:pgMar w:top="850" w:right="850" w:bottom="850"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240"/>
    <w:rsid w:val="00043D48"/>
    <w:rsid w:val="0004548C"/>
    <w:rsid w:val="00070F6A"/>
    <w:rsid w:val="00074AAE"/>
    <w:rsid w:val="000914D5"/>
    <w:rsid w:val="000A5D0E"/>
    <w:rsid w:val="000D4029"/>
    <w:rsid w:val="000D6EF3"/>
    <w:rsid w:val="00162CBA"/>
    <w:rsid w:val="001B05C2"/>
    <w:rsid w:val="001E6C77"/>
    <w:rsid w:val="001F2F60"/>
    <w:rsid w:val="002525C2"/>
    <w:rsid w:val="00295F70"/>
    <w:rsid w:val="002B3C8A"/>
    <w:rsid w:val="002D686F"/>
    <w:rsid w:val="002F484F"/>
    <w:rsid w:val="0031734F"/>
    <w:rsid w:val="00344D26"/>
    <w:rsid w:val="00385F4F"/>
    <w:rsid w:val="003C2AA4"/>
    <w:rsid w:val="003E7B5F"/>
    <w:rsid w:val="004175A8"/>
    <w:rsid w:val="00425675"/>
    <w:rsid w:val="004256C1"/>
    <w:rsid w:val="00471727"/>
    <w:rsid w:val="0048656C"/>
    <w:rsid w:val="00491949"/>
    <w:rsid w:val="004B7EDF"/>
    <w:rsid w:val="004F0360"/>
    <w:rsid w:val="004F420A"/>
    <w:rsid w:val="005052B5"/>
    <w:rsid w:val="00505F8D"/>
    <w:rsid w:val="00526B43"/>
    <w:rsid w:val="00555B15"/>
    <w:rsid w:val="00561AC0"/>
    <w:rsid w:val="005759DC"/>
    <w:rsid w:val="00577576"/>
    <w:rsid w:val="00584230"/>
    <w:rsid w:val="005846E4"/>
    <w:rsid w:val="00596F81"/>
    <w:rsid w:val="005F642C"/>
    <w:rsid w:val="0062396C"/>
    <w:rsid w:val="00633611"/>
    <w:rsid w:val="00635C29"/>
    <w:rsid w:val="00656B8E"/>
    <w:rsid w:val="006570D0"/>
    <w:rsid w:val="00687824"/>
    <w:rsid w:val="006A0FC8"/>
    <w:rsid w:val="006A3126"/>
    <w:rsid w:val="00720D81"/>
    <w:rsid w:val="007251F1"/>
    <w:rsid w:val="00726F15"/>
    <w:rsid w:val="00735866"/>
    <w:rsid w:val="00735BDB"/>
    <w:rsid w:val="00752014"/>
    <w:rsid w:val="007A7BA7"/>
    <w:rsid w:val="007C75CE"/>
    <w:rsid w:val="007E18C3"/>
    <w:rsid w:val="007F3184"/>
    <w:rsid w:val="007F56C8"/>
    <w:rsid w:val="00800A23"/>
    <w:rsid w:val="008420CE"/>
    <w:rsid w:val="00860344"/>
    <w:rsid w:val="00872838"/>
    <w:rsid w:val="00881CED"/>
    <w:rsid w:val="00883747"/>
    <w:rsid w:val="008F7067"/>
    <w:rsid w:val="00904EE9"/>
    <w:rsid w:val="00913C23"/>
    <w:rsid w:val="009335A0"/>
    <w:rsid w:val="009425F0"/>
    <w:rsid w:val="009865E8"/>
    <w:rsid w:val="009A54F7"/>
    <w:rsid w:val="009F1F37"/>
    <w:rsid w:val="009F3D45"/>
    <w:rsid w:val="00A46A08"/>
    <w:rsid w:val="00A64D56"/>
    <w:rsid w:val="00A74FEF"/>
    <w:rsid w:val="00A869B9"/>
    <w:rsid w:val="00AA6E23"/>
    <w:rsid w:val="00AD390C"/>
    <w:rsid w:val="00AD5009"/>
    <w:rsid w:val="00B24CF0"/>
    <w:rsid w:val="00B27892"/>
    <w:rsid w:val="00B52EAB"/>
    <w:rsid w:val="00B72AD7"/>
    <w:rsid w:val="00BD6EE7"/>
    <w:rsid w:val="00BE49A5"/>
    <w:rsid w:val="00C15EB3"/>
    <w:rsid w:val="00C247F5"/>
    <w:rsid w:val="00C271EC"/>
    <w:rsid w:val="00C45CE1"/>
    <w:rsid w:val="00C96884"/>
    <w:rsid w:val="00CB20BE"/>
    <w:rsid w:val="00D00F96"/>
    <w:rsid w:val="00D11FC0"/>
    <w:rsid w:val="00D37C7C"/>
    <w:rsid w:val="00D477CD"/>
    <w:rsid w:val="00D666DD"/>
    <w:rsid w:val="00D74DDF"/>
    <w:rsid w:val="00D90BDC"/>
    <w:rsid w:val="00DA2754"/>
    <w:rsid w:val="00DB4CBD"/>
    <w:rsid w:val="00E06405"/>
    <w:rsid w:val="00E10240"/>
    <w:rsid w:val="00E23327"/>
    <w:rsid w:val="00E37BBE"/>
    <w:rsid w:val="00E7132C"/>
    <w:rsid w:val="00E77AF3"/>
    <w:rsid w:val="00E81355"/>
    <w:rsid w:val="00E81A80"/>
    <w:rsid w:val="00F41225"/>
    <w:rsid w:val="00F45B77"/>
    <w:rsid w:val="00F62845"/>
    <w:rsid w:val="00F649D8"/>
    <w:rsid w:val="00F92DA4"/>
    <w:rsid w:val="00FB14FF"/>
    <w:rsid w:val="00FB1973"/>
    <w:rsid w:val="00FF2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B1054E-679E-4C46-B2A5-5EBE5B1E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0240"/>
    <w:pPr>
      <w:ind w:left="720"/>
      <w:contextualSpacing/>
    </w:pPr>
  </w:style>
  <w:style w:type="paragraph" w:styleId="a4">
    <w:name w:val="Balloon Text"/>
    <w:basedOn w:val="a"/>
    <w:link w:val="a5"/>
    <w:uiPriority w:val="99"/>
    <w:semiHidden/>
    <w:unhideWhenUsed/>
    <w:rsid w:val="00E37BB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BBE"/>
    <w:rPr>
      <w:rFonts w:ascii="Tahoma" w:hAnsi="Tahoma" w:cs="Tahoma"/>
      <w:sz w:val="16"/>
      <w:szCs w:val="16"/>
    </w:rPr>
  </w:style>
  <w:style w:type="character" w:customStyle="1" w:styleId="23">
    <w:name w:val="Основной текст (23)_"/>
    <w:basedOn w:val="a0"/>
    <w:rsid w:val="00AD5009"/>
    <w:rPr>
      <w:rFonts w:ascii="Arial Narrow" w:eastAsia="Arial Narrow" w:hAnsi="Arial Narrow" w:cs="Arial Narrow"/>
      <w:b w:val="0"/>
      <w:bCs w:val="0"/>
      <w:i w:val="0"/>
      <w:iCs w:val="0"/>
      <w:smallCaps w:val="0"/>
      <w:strike w:val="0"/>
      <w:spacing w:val="0"/>
      <w:w w:val="100"/>
      <w:sz w:val="17"/>
      <w:szCs w:val="17"/>
    </w:rPr>
  </w:style>
  <w:style w:type="character" w:customStyle="1" w:styleId="230">
    <w:name w:val="Основной текст (23)"/>
    <w:basedOn w:val="23"/>
    <w:rsid w:val="00AD5009"/>
    <w:rPr>
      <w:rFonts w:ascii="Arial Narrow" w:eastAsia="Arial Narrow" w:hAnsi="Arial Narrow" w:cs="Arial Narrow"/>
      <w:b w:val="0"/>
      <w:bCs w:val="0"/>
      <w:i w:val="0"/>
      <w:iCs w:val="0"/>
      <w:smallCaps w:val="0"/>
      <w:strike w:val="0"/>
      <w:spacing w:val="0"/>
      <w:w w:val="100"/>
      <w:sz w:val="17"/>
      <w:szCs w:val="17"/>
    </w:rPr>
  </w:style>
  <w:style w:type="paragraph" w:customStyle="1" w:styleId="s1">
    <w:name w:val="s_1"/>
    <w:basedOn w:val="a"/>
    <w:rsid w:val="001F2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search">
    <w:name w:val="highlightsearch"/>
    <w:basedOn w:val="a0"/>
    <w:rsid w:val="001F2F60"/>
  </w:style>
  <w:style w:type="character" w:styleId="a6">
    <w:name w:val="Hyperlink"/>
    <w:basedOn w:val="a0"/>
    <w:uiPriority w:val="99"/>
    <w:semiHidden/>
    <w:unhideWhenUsed/>
    <w:rsid w:val="001F2F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768955">
      <w:bodyDiv w:val="1"/>
      <w:marLeft w:val="0"/>
      <w:marRight w:val="0"/>
      <w:marTop w:val="0"/>
      <w:marBottom w:val="0"/>
      <w:divBdr>
        <w:top w:val="none" w:sz="0" w:space="0" w:color="auto"/>
        <w:left w:val="none" w:sz="0" w:space="0" w:color="auto"/>
        <w:bottom w:val="none" w:sz="0" w:space="0" w:color="auto"/>
        <w:right w:val="none" w:sz="0" w:space="0" w:color="auto"/>
      </w:divBdr>
      <w:divsChild>
        <w:div w:id="1482960263">
          <w:marLeft w:val="0"/>
          <w:marRight w:val="0"/>
          <w:marTop w:val="0"/>
          <w:marBottom w:val="0"/>
          <w:divBdr>
            <w:top w:val="none" w:sz="0" w:space="0" w:color="auto"/>
            <w:left w:val="none" w:sz="0" w:space="0" w:color="auto"/>
            <w:bottom w:val="none" w:sz="0" w:space="0" w:color="auto"/>
            <w:right w:val="none" w:sz="0" w:space="0" w:color="auto"/>
          </w:divBdr>
        </w:div>
        <w:div w:id="879364238">
          <w:marLeft w:val="0"/>
          <w:marRight w:val="0"/>
          <w:marTop w:val="0"/>
          <w:marBottom w:val="0"/>
          <w:divBdr>
            <w:top w:val="none" w:sz="0" w:space="0" w:color="auto"/>
            <w:left w:val="none" w:sz="0" w:space="0" w:color="auto"/>
            <w:bottom w:val="none" w:sz="0" w:space="0" w:color="auto"/>
            <w:right w:val="none" w:sz="0" w:space="0" w:color="auto"/>
          </w:divBdr>
        </w:div>
        <w:div w:id="1286086398">
          <w:marLeft w:val="0"/>
          <w:marRight w:val="0"/>
          <w:marTop w:val="0"/>
          <w:marBottom w:val="0"/>
          <w:divBdr>
            <w:top w:val="none" w:sz="0" w:space="0" w:color="auto"/>
            <w:left w:val="none" w:sz="0" w:space="0" w:color="auto"/>
            <w:bottom w:val="none" w:sz="0" w:space="0" w:color="auto"/>
            <w:right w:val="none" w:sz="0" w:space="0" w:color="auto"/>
          </w:divBdr>
        </w:div>
        <w:div w:id="2034529269">
          <w:marLeft w:val="0"/>
          <w:marRight w:val="0"/>
          <w:marTop w:val="0"/>
          <w:marBottom w:val="0"/>
          <w:divBdr>
            <w:top w:val="none" w:sz="0" w:space="0" w:color="auto"/>
            <w:left w:val="none" w:sz="0" w:space="0" w:color="auto"/>
            <w:bottom w:val="none" w:sz="0" w:space="0" w:color="auto"/>
            <w:right w:val="none" w:sz="0" w:space="0" w:color="auto"/>
          </w:divBdr>
        </w:div>
        <w:div w:id="558251183">
          <w:marLeft w:val="0"/>
          <w:marRight w:val="0"/>
          <w:marTop w:val="0"/>
          <w:marBottom w:val="0"/>
          <w:divBdr>
            <w:top w:val="none" w:sz="0" w:space="0" w:color="auto"/>
            <w:left w:val="none" w:sz="0" w:space="0" w:color="auto"/>
            <w:bottom w:val="none" w:sz="0" w:space="0" w:color="auto"/>
            <w:right w:val="none" w:sz="0" w:space="0" w:color="auto"/>
          </w:divBdr>
        </w:div>
        <w:div w:id="775976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905</Words>
  <Characters>5159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Комиссаренко Олег Владимирови</dc:creator>
  <cp:lastModifiedBy>Алдакова Залина Олеговна</cp:lastModifiedBy>
  <cp:revision>11</cp:revision>
  <dcterms:created xsi:type="dcterms:W3CDTF">2017-04-27T12:38:00Z</dcterms:created>
  <dcterms:modified xsi:type="dcterms:W3CDTF">2022-02-11T12:30:00Z</dcterms:modified>
</cp:coreProperties>
</file>